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keepNext w:val="0"/>
        <w:keepLines w:val="0"/>
        <w:spacing w:after="0" w:line="360" w:lineRule="auto"/>
        <w:jc w:val="left"/>
        <w:rPr>
          <w:rFonts w:ascii="Times New Roman" w:cs="Times New Roman" w:eastAsia="Times New Roman" w:hAnsi="Times New Roman"/>
          <w:sz w:val="26"/>
          <w:szCs w:val="26"/>
        </w:rPr>
      </w:pPr>
      <w:bookmarkStart w:colFirst="0" w:colLast="0" w:name="_heading=h.b706arbsww2s" w:id="0"/>
      <w:bookmarkEnd w:id="0"/>
      <w:r w:rsidDel="00000000" w:rsidR="00000000" w:rsidRPr="00000000">
        <w:rPr>
          <w:rFonts w:ascii="Times New Roman" w:cs="Times New Roman" w:eastAsia="Times New Roman" w:hAnsi="Times New Roman"/>
          <w:sz w:val="28"/>
          <w:szCs w:val="28"/>
          <w:rtl w:val="0"/>
        </w:rPr>
        <w:t xml:space="preserve">S1. Additional figures and tables</w:t>
      </w:r>
      <w:r w:rsidDel="00000000" w:rsidR="00000000" w:rsidRPr="00000000">
        <w:rPr>
          <w:rtl w:val="0"/>
        </w:rPr>
      </w:r>
    </w:p>
    <w:p w:rsidR="00000000" w:rsidDel="00000000" w:rsidP="00000000" w:rsidRDefault="00000000" w:rsidRPr="00000000" w14:paraId="00000002">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03">
      <w:pPr>
        <w:spacing w:line="360" w:lineRule="auto"/>
        <w:rPr>
          <w:rFonts w:ascii="Times New Roman" w:cs="Times New Roman" w:eastAsia="Times New Roman" w:hAnsi="Times New Roman"/>
          <w:color w:val="d13438"/>
          <w:sz w:val="20"/>
          <w:szCs w:val="20"/>
          <w:u w:val="single"/>
        </w:rPr>
      </w:pPr>
      <w:r w:rsidDel="00000000" w:rsidR="00000000" w:rsidRPr="00000000">
        <w:rPr>
          <w:rFonts w:ascii="Times New Roman" w:cs="Times New Roman" w:eastAsia="Times New Roman" w:hAnsi="Times New Roman"/>
          <w:color w:val="d13438"/>
          <w:sz w:val="20"/>
          <w:szCs w:val="20"/>
          <w:u w:val="single"/>
        </w:rPr>
        <w:drawing>
          <wp:inline distB="114300" distT="114300" distL="114300" distR="114300">
            <wp:extent cx="5943600" cy="5422900"/>
            <wp:effectExtent b="0" l="0" r="0" t="0"/>
            <wp:docPr id="1"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5943600" cy="54229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spacing w:line="360" w:lineRule="auto"/>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tl w:val="0"/>
        </w:rPr>
        <w:t xml:space="preserve">Fig. S1. Example of </w:t>
      </w:r>
      <w:r w:rsidDel="00000000" w:rsidR="00000000" w:rsidRPr="00000000">
        <w:rPr>
          <w:rFonts w:ascii="Times New Roman" w:cs="Times New Roman" w:eastAsia="Times New Roman" w:hAnsi="Times New Roman"/>
          <w:b w:val="1"/>
          <w:bCs w:val="1"/>
          <w:i w:val="1"/>
          <w:iCs w:val="1"/>
          <w:sz w:val="18"/>
          <w:szCs w:val="18"/>
          <w:rtl w:val="0"/>
        </w:rPr>
        <w:t xml:space="preserve">in situ</w:t>
      </w:r>
      <w:r w:rsidDel="00000000" w:rsidR="00000000" w:rsidRPr="00000000">
        <w:rPr>
          <w:rFonts w:ascii="Times New Roman" w:cs="Times New Roman" w:eastAsia="Times New Roman" w:hAnsi="Times New Roman"/>
          <w:b w:val="1"/>
          <w:bCs w:val="1"/>
          <w:sz w:val="18"/>
          <w:szCs w:val="18"/>
          <w:rtl w:val="0"/>
        </w:rPr>
        <w:t xml:space="preserve"> glider measurements during deployment Sydney20220117 including the period the glider encountered a MHW (red dots), showing (a,b) temperature, (c,d) chlorophyll fluorescence, (e,f) salinity and (g,h) dissolved oxygen before (left) and after (right) quality control (QC) respectively. Panels (b,d,f,h) show data after IMOS QC flags (retention of flagged good data only) are applied and additional steps including depth restriction to the continental shelf and bottom boundary layer removal. Panel (d) includes additional QC for chlorophyll fluorescence, consisting of a quenching correction (day-time data were discarded and only night-time data were retained for chlorophyll) and removal of outliers.</w:t>
      </w:r>
    </w:p>
    <w:p w:rsidR="00000000" w:rsidDel="00000000" w:rsidP="00000000" w:rsidRDefault="00000000" w:rsidRPr="00000000" w14:paraId="00000005">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06">
      <w:pPr>
        <w:spacing w:line="360" w:lineRule="auto"/>
        <w:jc w:val="left"/>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07">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08">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09">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0A">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0B">
      <w:pPr>
        <w:spacing w:line="360" w:lineRule="auto"/>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tl w:val="0"/>
        </w:rPr>
        <w:t xml:space="preserve">Table S1. Seasonal number of profiles (for chlorophyll only) with and without MHWs by region, as eastern Tasmania (TAS), southeastern Australia (New South Wales, NSW), northeastern Australia (Queensland region, QLD), and southwest Western Australia (SW WA).</w:t>
      </w:r>
    </w:p>
    <w:p w:rsidR="00000000" w:rsidDel="00000000" w:rsidP="00000000" w:rsidRDefault="00000000" w:rsidRPr="00000000" w14:paraId="0000000C">
      <w:pPr>
        <w:spacing w:line="360" w:lineRule="auto"/>
        <w:rPr>
          <w:rFonts w:ascii="Times New Roman" w:cs="Times New Roman" w:eastAsia="Times New Roman" w:hAnsi="Times New Roman"/>
          <w:b w:val="1"/>
          <w:bCs w:val="1"/>
          <w:sz w:val="18"/>
          <w:szCs w:val="18"/>
        </w:rPr>
      </w:pPr>
      <w:r w:rsidDel="00000000" w:rsidR="00000000" w:rsidRPr="00000000">
        <w:rPr>
          <w:rtl w:val="0"/>
        </w:rPr>
      </w:r>
    </w:p>
    <w:tbl>
      <w:tblPr>
        <w:tblStyle w:val="Table1"/>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85"/>
        <w:gridCol w:w="1380"/>
        <w:gridCol w:w="1515"/>
        <w:gridCol w:w="1515"/>
        <w:gridCol w:w="1305"/>
        <w:gridCol w:w="1380"/>
        <w:gridCol w:w="1380"/>
        <w:tblGridChange w:id="0">
          <w:tblGrid>
            <w:gridCol w:w="885"/>
            <w:gridCol w:w="1380"/>
            <w:gridCol w:w="1515"/>
            <w:gridCol w:w="1515"/>
            <w:gridCol w:w="1305"/>
            <w:gridCol w:w="1380"/>
            <w:gridCol w:w="1380"/>
          </w:tblGrid>
        </w:tblGridChange>
      </w:tblGrid>
      <w:tr>
        <w:trPr>
          <w:cantSplit w:val="0"/>
          <w:trHeight w:val="31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00D">
            <w:pPr>
              <w:widowControl w:val="0"/>
              <w:spacing w:line="360" w:lineRule="auto"/>
              <w:jc w:val="left"/>
              <w:rPr>
                <w:rFonts w:ascii="Times New Roman" w:cs="Times New Roman" w:eastAsia="Times New Roman" w:hAnsi="Times New Roman"/>
                <w:sz w:val="20"/>
                <w:szCs w:val="20"/>
              </w:rPr>
            </w:pPr>
            <w:r w:rsidDel="00000000" w:rsidR="00000000" w:rsidRPr="00000000">
              <w:rPr>
                <w:rtl w:val="0"/>
              </w:rPr>
            </w:r>
          </w:p>
        </w:tc>
        <w:tc>
          <w:tcPr>
            <w:tcBorders>
              <w:top w:color="cccccc" w:space="0" w:sz="4" w:val="single"/>
              <w:left w:color="cccccc" w:space="0" w:sz="4" w:val="single"/>
              <w:bottom w:color="cccccc"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0E">
            <w:pPr>
              <w:widowControl w:val="0"/>
              <w:spacing w:line="360" w:lineRule="auto"/>
              <w:jc w:val="left"/>
              <w:rPr>
                <w:rFonts w:ascii="Times New Roman" w:cs="Times New Roman" w:eastAsia="Times New Roman" w:hAnsi="Times New Roman"/>
                <w:sz w:val="20"/>
                <w:szCs w:val="20"/>
              </w:rPr>
            </w:pPr>
            <w:r w:rsidDel="00000000" w:rsidR="00000000" w:rsidRPr="00000000">
              <w:rPr>
                <w:rtl w:val="0"/>
              </w:rPr>
            </w:r>
          </w:p>
        </w:tc>
        <w:tc>
          <w:tcPr>
            <w:gridSpan w:val="5"/>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0F">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Number of profiles</w:t>
            </w:r>
            <w:r w:rsidDel="00000000" w:rsidR="00000000" w:rsidRPr="00000000">
              <w:rPr>
                <w:rtl w:val="0"/>
              </w:rPr>
            </w:r>
          </w:p>
        </w:tc>
      </w:tr>
      <w:tr>
        <w:trPr>
          <w:cantSplit w:val="0"/>
          <w:trHeight w:val="315" w:hRule="atLeast"/>
          <w:tblHeader w:val="0"/>
        </w:trPr>
        <w:tc>
          <w:tcPr>
            <w:tcBorders>
              <w:top w:color="cccccc" w:space="0" w:sz="4" w:val="single"/>
              <w:left w:color="cccccc" w:space="0" w:sz="4" w:val="single"/>
              <w:bottom w:color="000000" w:space="0" w:sz="4" w:val="single"/>
              <w:right w:color="cccccc"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4">
            <w:pPr>
              <w:widowControl w:val="0"/>
              <w:spacing w:line="360" w:lineRule="auto"/>
              <w:jc w:val="left"/>
              <w:rPr>
                <w:rFonts w:ascii="Times New Roman" w:cs="Times New Roman" w:eastAsia="Times New Roman" w:hAnsi="Times New Roman"/>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5">
            <w:pPr>
              <w:widowControl w:val="0"/>
              <w:spacing w:line="360" w:lineRule="auto"/>
              <w:jc w:val="left"/>
              <w:rPr>
                <w:rFonts w:ascii="Times New Roman" w:cs="Times New Roman" w:eastAsia="Times New Roman" w:hAnsi="Times New Roman"/>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6">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Summer (DJF)</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7">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Autumn (MAM)</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8">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Winter (JJA)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9">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Spring (SON)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A">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Total profiles</w:t>
            </w:r>
            <w:r w:rsidDel="00000000" w:rsidR="00000000" w:rsidRPr="00000000">
              <w:rPr>
                <w:rtl w:val="0"/>
              </w:rPr>
            </w:r>
          </w:p>
        </w:tc>
      </w:tr>
      <w:tr>
        <w:trPr>
          <w:cantSplit w:val="0"/>
          <w:trHeight w:val="315" w:hRule="atLeast"/>
          <w:tblHeader w:val="0"/>
        </w:trPr>
        <w:tc>
          <w:tcPr>
            <w:vMerge w:val="restart"/>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B">
            <w:pPr>
              <w:widowControl w:val="0"/>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TAS</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C">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MHW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D">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265</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E">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429</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1F">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0">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62</w:t>
            </w:r>
          </w:p>
        </w:tc>
        <w:tc>
          <w:tcPr>
            <w:vMerge w:val="restart"/>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1">
            <w:pPr>
              <w:widowControl w:val="0"/>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5,320</w:t>
            </w:r>
          </w:p>
        </w:tc>
      </w:tr>
      <w:tr>
        <w:trPr>
          <w:cantSplit w:val="0"/>
          <w:trHeight w:val="315" w:hRule="atLeast"/>
          <w:tblHeader w:val="0"/>
        </w:trPr>
        <w:tc>
          <w:tcPr>
            <w:vMerge w:val="continue"/>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3">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non-MHW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4">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763</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5">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1,171</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6">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733</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7">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1,891</w:t>
            </w:r>
          </w:p>
        </w:tc>
        <w:tc>
          <w:tcPr>
            <w:vMerge w:val="continue"/>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vMerge w:val="continue"/>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A">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Total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B">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1,028</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C">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1,600</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D">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739</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E">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1,953</w:t>
            </w:r>
            <w:r w:rsidDel="00000000" w:rsidR="00000000" w:rsidRPr="00000000">
              <w:rPr>
                <w:rtl w:val="0"/>
              </w:rPr>
            </w:r>
          </w:p>
        </w:tc>
        <w:tc>
          <w:tcPr>
            <w:vMerge w:val="continue"/>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vMerge w:val="restart"/>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0">
            <w:pPr>
              <w:widowControl w:val="0"/>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NSW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1">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MHW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2">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158</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3">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408</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4">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166</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5">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589</w:t>
            </w:r>
          </w:p>
        </w:tc>
        <w:tc>
          <w:tcPr>
            <w:vMerge w:val="restart"/>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6">
            <w:pPr>
              <w:widowControl w:val="0"/>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9,314</w:t>
            </w:r>
          </w:p>
        </w:tc>
      </w:tr>
      <w:tr>
        <w:trPr>
          <w:cantSplit w:val="0"/>
          <w:trHeight w:val="315" w:hRule="atLeast"/>
          <w:tblHeader w:val="0"/>
        </w:trPr>
        <w:tc>
          <w:tcPr>
            <w:vMerge w:val="continue"/>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8">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non-MHW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9">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1,053</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A">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1,422</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B">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1,832</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C">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3,686</w:t>
            </w:r>
          </w:p>
        </w:tc>
        <w:tc>
          <w:tcPr>
            <w:vMerge w:val="continue"/>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vMerge w:val="continue"/>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3F">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Total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0">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1,211</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1">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1,830</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2">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1,998</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3">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4,275</w:t>
            </w:r>
            <w:r w:rsidDel="00000000" w:rsidR="00000000" w:rsidRPr="00000000">
              <w:rPr>
                <w:rtl w:val="0"/>
              </w:rPr>
            </w:r>
          </w:p>
        </w:tc>
        <w:tc>
          <w:tcPr>
            <w:vMerge w:val="continue"/>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vMerge w:val="restart"/>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5">
            <w:pPr>
              <w:widowControl w:val="0"/>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QLD</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6">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MHW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7">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473</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8">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1,008</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9">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466</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A">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276</w:t>
            </w:r>
          </w:p>
        </w:tc>
        <w:tc>
          <w:tcPr>
            <w:vMerge w:val="restart"/>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B">
            <w:pPr>
              <w:widowControl w:val="0"/>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5,317</w:t>
            </w:r>
          </w:p>
        </w:tc>
      </w:tr>
      <w:tr>
        <w:trPr>
          <w:cantSplit w:val="0"/>
          <w:trHeight w:val="315" w:hRule="atLeast"/>
          <w:tblHeader w:val="0"/>
        </w:trPr>
        <w:tc>
          <w:tcPr>
            <w:vMerge w:val="continue"/>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D">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non-MHW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E">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872</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4F">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542</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0">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713</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1">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967</w:t>
            </w:r>
          </w:p>
        </w:tc>
        <w:tc>
          <w:tcPr>
            <w:vMerge w:val="continue"/>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vMerge w:val="continue"/>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4">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Total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5">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1,345</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6">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1,550</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7">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1,179</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8">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1,243</w:t>
            </w:r>
            <w:r w:rsidDel="00000000" w:rsidR="00000000" w:rsidRPr="00000000">
              <w:rPr>
                <w:rtl w:val="0"/>
              </w:rPr>
            </w:r>
          </w:p>
        </w:tc>
        <w:tc>
          <w:tcPr>
            <w:vMerge w:val="continue"/>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vMerge w:val="restart"/>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A">
            <w:pPr>
              <w:widowControl w:val="0"/>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SW WA</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B">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MHW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C">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504</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D">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272</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E">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85</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5F">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96</w:t>
            </w:r>
          </w:p>
        </w:tc>
        <w:tc>
          <w:tcPr>
            <w:vMerge w:val="restart"/>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0">
            <w:pPr>
              <w:widowControl w:val="0"/>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9,054</w:t>
            </w:r>
          </w:p>
        </w:tc>
      </w:tr>
      <w:tr>
        <w:trPr>
          <w:cantSplit w:val="0"/>
          <w:trHeight w:val="315" w:hRule="atLeast"/>
          <w:tblHeader w:val="0"/>
        </w:trPr>
        <w:tc>
          <w:tcPr>
            <w:vMerge w:val="continue"/>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2">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non-MHW</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3">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1,866</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4">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1,848</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5">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2,326</w:t>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6">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2,057</w:t>
            </w:r>
          </w:p>
        </w:tc>
        <w:tc>
          <w:tcPr>
            <w:vMerge w:val="continue"/>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vMerge w:val="continue"/>
            <w:tcBorders>
              <w:top w:color="cccccc"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9">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Total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A">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2,370</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B">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2,120</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C">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2,411</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D">
            <w:pPr>
              <w:widowControl w:val="0"/>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2,153</w:t>
            </w:r>
            <w:r w:rsidDel="00000000" w:rsidR="00000000" w:rsidRPr="00000000">
              <w:rPr>
                <w:rtl w:val="0"/>
              </w:rPr>
            </w:r>
          </w:p>
        </w:tc>
        <w:tc>
          <w:tcPr>
            <w:vMerge w:val="continue"/>
            <w:tcBorders>
              <w:top w:color="cccccc" w:space="0" w:sz="4" w:val="single"/>
              <w:left w:color="cccccc"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bl>
    <w:p w:rsidR="00000000" w:rsidDel="00000000" w:rsidP="00000000" w:rsidRDefault="00000000" w:rsidRPr="00000000" w14:paraId="0000006F">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0">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1">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2">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3">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4">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5">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6">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7">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8">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9">
      <w:pPr>
        <w:spacing w:line="360" w:lineRule="auto"/>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Pr>
        <w:drawing>
          <wp:inline distB="114300" distT="114300" distL="114300" distR="114300">
            <wp:extent cx="4626000" cy="2681634"/>
            <wp:effectExtent b="0" l="0" r="0" t="0"/>
            <wp:docPr id="3"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4626000" cy="2681634"/>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line="360" w:lineRule="auto"/>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tl w:val="0"/>
        </w:rPr>
        <w:t xml:space="preserve">Fig. S2. Profiles of dissolved oxygen (µmol kg</w:t>
      </w:r>
      <w:r w:rsidDel="00000000" w:rsidR="00000000" w:rsidRPr="00000000">
        <w:rPr>
          <w:rFonts w:ascii="Times New Roman" w:cs="Times New Roman" w:eastAsia="Times New Roman" w:hAnsi="Times New Roman"/>
          <w:sz w:val="20"/>
          <w:szCs w:val="20"/>
          <w:vertAlign w:val="superscript"/>
          <w:rtl w:val="0"/>
        </w:rPr>
        <w:t xml:space="preserve">-</w:t>
      </w:r>
      <w:r w:rsidDel="00000000" w:rsidR="00000000" w:rsidRPr="00000000">
        <w:rPr>
          <w:rFonts w:ascii="Times New Roman" w:cs="Times New Roman" w:eastAsia="Times New Roman" w:hAnsi="Times New Roman"/>
          <w:b w:val="1"/>
          <w:bCs w:val="1"/>
          <w:sz w:val="18"/>
          <w:szCs w:val="18"/>
          <w:rtl w:val="0"/>
        </w:rPr>
        <w:t xml:space="preserve">¹) averaged for moderate (yellow line) and strong (orange line) MHW events at each (a-d) season and each (e-h) region. Depth in the y-axis was rescaled relative to the mixed layer depth to represent ranges above and below the mixed layer. Seasons are defined as winter (June-August), spring (September-November), summer (December-February), and autumn (March-May).</w:t>
      </w:r>
    </w:p>
    <w:p w:rsidR="00000000" w:rsidDel="00000000" w:rsidP="00000000" w:rsidRDefault="00000000" w:rsidRPr="00000000" w14:paraId="0000007B">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C">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D">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E">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7F">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0">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1">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2">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3">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4">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5">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6">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7">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8">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9">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A">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B">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C">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D">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E">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8F">
      <w:pPr>
        <w:spacing w:line="360" w:lineRule="auto"/>
        <w:rPr>
          <w:rFonts w:ascii="Times New Roman" w:cs="Times New Roman" w:eastAsia="Times New Roman" w:hAnsi="Times New Roman"/>
          <w:b w:val="1"/>
          <w:bCs w:val="1"/>
          <w:sz w:val="18"/>
          <w:szCs w:val="18"/>
        </w:rPr>
      </w:pPr>
      <w:r w:rsidDel="00000000" w:rsidR="00000000" w:rsidRPr="00000000">
        <w:rPr>
          <w:rtl w:val="0"/>
        </w:rPr>
      </w:r>
    </w:p>
    <w:p w:rsidR="00000000" w:rsidDel="00000000" w:rsidP="00000000" w:rsidRDefault="00000000" w:rsidRPr="00000000" w14:paraId="00000090">
      <w:pPr>
        <w:spacing w:after="0" w:line="360" w:lineRule="auto"/>
        <w:jc w:val="both"/>
        <w:rPr>
          <w:rFonts w:ascii="Times New Roman" w:cs="Times New Roman" w:eastAsia="Times New Roman" w:hAnsi="Times New Roman"/>
          <w:color w:val="ff0000"/>
          <w:sz w:val="18"/>
          <w:szCs w:val="18"/>
        </w:rPr>
      </w:pPr>
      <w:r w:rsidDel="00000000" w:rsidR="00000000" w:rsidRPr="00000000">
        <w:rPr>
          <w:rtl w:val="0"/>
        </w:rPr>
      </w:r>
    </w:p>
    <w:p w:rsidR="00000000" w:rsidDel="00000000" w:rsidP="00000000" w:rsidRDefault="00000000" w:rsidRPr="00000000" w14:paraId="00000091">
      <w:pPr>
        <w:spacing w:after="0" w:line="36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4626000" cy="5135583"/>
            <wp:effectExtent b="0" l="0" r="0" t="0"/>
            <wp:docPr id="2"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4626000" cy="5135583"/>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spacing w:line="36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18"/>
          <w:szCs w:val="18"/>
          <w:rtl w:val="0"/>
        </w:rPr>
        <w:t xml:space="preserve">Fig. S3. Vertical dissolved oxygen saturation (%) for each region and season. Horizontal dashed lines are the mean mixed layer depths for the season, based on MHW (red) and non-MHW (blue) conditions. Shaded areas represent the respective standard deviations. Seasons are defined as winter (June-August), spring (September-November), summer (December-February), and autumn (March-May). </w:t>
      </w:r>
      <w:r w:rsidDel="00000000" w:rsidR="00000000" w:rsidRPr="00000000">
        <w:rPr>
          <w:rFonts w:ascii="Times New Roman" w:cs="Times New Roman" w:eastAsia="Times New Roman" w:hAnsi="Times New Roman"/>
          <w:i w:val="1"/>
          <w:iCs w:val="1"/>
          <w:sz w:val="20"/>
          <w:szCs w:val="20"/>
          <w:rtl w:val="0"/>
        </w:rPr>
        <w:t xml:space="preserve"> </w:t>
      </w:r>
      <w:r w:rsidDel="00000000" w:rsidR="00000000" w:rsidRPr="00000000">
        <w:rPr>
          <w:rtl w:val="0"/>
        </w:rPr>
      </w:r>
    </w:p>
    <w:p w:rsidR="00000000" w:rsidDel="00000000" w:rsidP="00000000" w:rsidRDefault="00000000" w:rsidRPr="00000000" w14:paraId="00000093">
      <w:pPr>
        <w:spacing w:line="360" w:lineRule="auto"/>
        <w:jc w:val="cente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94">
      <w:pPr>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5319713" cy="7254928"/>
            <wp:effectExtent b="0" l="0" r="0" t="0"/>
            <wp:docPr id="5"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319713" cy="7254928"/>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spacing w:line="36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Fig. S4. Scatterplots of chlorophyll anomalies (mg m</w:t>
      </w:r>
      <w:r w:rsidDel="00000000" w:rsidR="00000000" w:rsidRPr="00000000">
        <w:rPr>
          <w:rFonts w:ascii="Times New Roman" w:cs="Times New Roman" w:eastAsia="Times New Roman" w:hAnsi="Times New Roman"/>
          <w:b w:val="1"/>
          <w:bCs w:val="1"/>
          <w:sz w:val="20"/>
          <w:szCs w:val="20"/>
          <w:vertAlign w:val="superscript"/>
          <w:rtl w:val="0"/>
        </w:rPr>
        <w:t xml:space="preserve">-3</w:t>
      </w:r>
      <w:r w:rsidDel="00000000" w:rsidR="00000000" w:rsidRPr="00000000">
        <w:rPr>
          <w:rFonts w:ascii="Times New Roman" w:cs="Times New Roman" w:eastAsia="Times New Roman" w:hAnsi="Times New Roman"/>
          <w:b w:val="1"/>
          <w:bCs w:val="1"/>
          <w:sz w:val="20"/>
          <w:szCs w:val="20"/>
          <w:rtl w:val="0"/>
        </w:rPr>
        <w:t xml:space="preserve">) versus temperature anomalies (</w:t>
      </w:r>
      <w:r w:rsidDel="00000000" w:rsidR="00000000" w:rsidRPr="00000000">
        <w:rPr>
          <w:rFonts w:ascii="Times New Roman" w:cs="Times New Roman" w:eastAsia="Times New Roman" w:hAnsi="Times New Roman"/>
          <w:b w:val="1"/>
          <w:bCs w:val="1"/>
          <w:sz w:val="20"/>
          <w:szCs w:val="20"/>
          <w:vertAlign w:val="superscript"/>
          <w:rtl w:val="0"/>
        </w:rPr>
        <w:t xml:space="preserve">o</w:t>
      </w:r>
      <w:r w:rsidDel="00000000" w:rsidR="00000000" w:rsidRPr="00000000">
        <w:rPr>
          <w:rFonts w:ascii="Times New Roman" w:cs="Times New Roman" w:eastAsia="Times New Roman" w:hAnsi="Times New Roman"/>
          <w:b w:val="1"/>
          <w:bCs w:val="1"/>
          <w:sz w:val="20"/>
          <w:szCs w:val="20"/>
          <w:rtl w:val="0"/>
        </w:rPr>
        <w:t xml:space="preserve">C) for each region, (a,b) TAS, (c,d) NSW, (e,f) QLD, and (g,h) SW WA, (a,c,e,g) above and (b,d,f,h) below the mixed layer depth, respectively. Data points are colored by seasons (summer: red, autumn: grey, winter: blue, spring: yellow). The best-fit linear curve is shown by the black, solid line. </w:t>
      </w:r>
      <w:r w:rsidDel="00000000" w:rsidR="00000000" w:rsidRPr="00000000">
        <w:rPr>
          <w:rtl w:val="0"/>
        </w:rPr>
      </w:r>
    </w:p>
    <w:p w:rsidR="00000000" w:rsidDel="00000000" w:rsidP="00000000" w:rsidRDefault="00000000" w:rsidRPr="00000000" w14:paraId="00000096">
      <w:pPr>
        <w:spacing w:line="360" w:lineRule="auto"/>
        <w:jc w:val="cente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97">
      <w:pPr>
        <w:spacing w:line="36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4826394" cy="6557795"/>
            <wp:effectExtent b="0" l="0" r="0" t="0"/>
            <wp:docPr id="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4826394" cy="6557795"/>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spacing w:line="36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Fig. S5. Relationship between dissolved oxygen anomalies (µmol kg⁻¹) and temperature anomalies (</w:t>
      </w:r>
      <w:r w:rsidDel="00000000" w:rsidR="00000000" w:rsidRPr="00000000">
        <w:rPr>
          <w:rFonts w:ascii="Times New Roman" w:cs="Times New Roman" w:eastAsia="Times New Roman" w:hAnsi="Times New Roman"/>
          <w:b w:val="1"/>
          <w:bCs w:val="1"/>
          <w:sz w:val="20"/>
          <w:szCs w:val="20"/>
          <w:vertAlign w:val="superscript"/>
          <w:rtl w:val="0"/>
        </w:rPr>
        <w:t xml:space="preserve">o</w:t>
      </w:r>
      <w:r w:rsidDel="00000000" w:rsidR="00000000" w:rsidRPr="00000000">
        <w:rPr>
          <w:rFonts w:ascii="Times New Roman" w:cs="Times New Roman" w:eastAsia="Times New Roman" w:hAnsi="Times New Roman"/>
          <w:b w:val="1"/>
          <w:bCs w:val="1"/>
          <w:sz w:val="20"/>
          <w:szCs w:val="20"/>
          <w:rtl w:val="0"/>
        </w:rPr>
        <w:t xml:space="preserve">C) for each region, (a,b) TAS, (c,d) NSW, (e,f) QLD, and (g,h) SW WA, (a,c,e,g) above and (b,d,f,h) below the mixed layer depth, respectively. Data points are colored by seasons (summer: red, autumn: grey, winter: blue, spring: yellow). Solid black lines indicate the line of best fit. </w:t>
      </w:r>
      <w:r w:rsidDel="00000000" w:rsidR="00000000" w:rsidRPr="00000000">
        <w:rPr>
          <w:rtl w:val="0"/>
        </w:rPr>
      </w:r>
    </w:p>
    <w:p w:rsidR="00000000" w:rsidDel="00000000" w:rsidP="00000000" w:rsidRDefault="00000000" w:rsidRPr="00000000" w14:paraId="00000099">
      <w:pPr>
        <w:spacing w:line="36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9A">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9B">
      <w:pPr>
        <w:spacing w:line="360" w:lineRule="auto"/>
        <w:rPr>
          <w:rFonts w:ascii="Times New Roman" w:cs="Times New Roman" w:eastAsia="Times New Roman" w:hAnsi="Times New Roman"/>
          <w:b w:val="1"/>
          <w:bCs w:val="1"/>
          <w:color w:val="ff0000"/>
          <w:sz w:val="20"/>
          <w:szCs w:val="20"/>
        </w:rPr>
      </w:pPr>
      <w:r w:rsidDel="00000000" w:rsidR="00000000" w:rsidRPr="00000000">
        <w:rPr>
          <w:rtl w:val="0"/>
        </w:rPr>
      </w:r>
    </w:p>
    <w:p w:rsidR="00000000" w:rsidDel="00000000" w:rsidP="00000000" w:rsidRDefault="00000000" w:rsidRPr="00000000" w14:paraId="0000009C">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9D">
      <w:pPr>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Pr>
        <w:drawing>
          <wp:inline distB="114300" distT="114300" distL="114300" distR="114300">
            <wp:extent cx="4680000" cy="5054400"/>
            <wp:effectExtent b="0" l="0" r="0" t="0"/>
            <wp:docPr id="7"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4680000" cy="50544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line="360" w:lineRule="auto"/>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Fig. S6. Correlations between (a) maximum stratification depth (m) vs. MHW depth extent (m), (b) DCM depth vs. maximum stratification depth (m), (c) DCM depth (m) vs. MHW depth extent (m) and (d) DCM depth (m) vs. thermocline depth (m). Data points are color-coded by season in colors (blue = winter, yellow = spring, red = summer and grey = autumn) and marker shapes distinguish the regions. </w:t>
      </w:r>
    </w:p>
    <w:p w:rsidR="00000000" w:rsidDel="00000000" w:rsidP="00000000" w:rsidRDefault="00000000" w:rsidRPr="00000000" w14:paraId="0000009F">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0">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1">
      <w:pPr>
        <w:spacing w:line="36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Pr>
        <w:drawing>
          <wp:inline distB="114300" distT="114300" distL="114300" distR="114300">
            <wp:extent cx="5223600" cy="2874589"/>
            <wp:effectExtent b="0" l="0" r="0" t="0"/>
            <wp:docPr id="6"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5223600" cy="2874589"/>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spacing w:line="360" w:lineRule="auto"/>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Fig. S7. Comparison between different MHW depth extent definitions (Methods A–G). The mean absolute depth extent for each region and season across all methods are inside each cell, while colours indicate the deviation relative to Method D (Δz), highlighted as the reference definition introduced by Elzahaby and Schaeffer, 2019 and used in this work.</w:t>
      </w:r>
    </w:p>
    <w:p w:rsidR="00000000" w:rsidDel="00000000" w:rsidP="00000000" w:rsidRDefault="00000000" w:rsidRPr="00000000" w14:paraId="000000A3">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4">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5">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6">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7">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8">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9">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A">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B">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C">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D">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E">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AF">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B0">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B1">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B2">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B3">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B4">
      <w:pPr>
        <w:spacing w:line="36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B5">
      <w:pPr>
        <w:spacing w:line="360" w:lineRule="auto"/>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Pr>
        <w:drawing>
          <wp:inline distB="114300" distT="114300" distL="114300" distR="114300">
            <wp:extent cx="5943600" cy="7467600"/>
            <wp:effectExtent b="0" l="0" r="0" t="0"/>
            <wp:docPr id="8"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5943600" cy="7467600"/>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spacing w:line="360" w:lineRule="auto"/>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Fig. S8. same as Fig. 10 but with the number of data points. Unlike Fig. 10, no color scale is used here.</w:t>
      </w:r>
    </w:p>
    <w:sectPr>
      <w:headerReference r:id="rId15" w:type="default"/>
      <w:headerReference r:id="rId16" w:type="first"/>
      <w:headerReference r:id="rId17" w:type="even"/>
      <w:footerReference r:id="rId18" w:type="default"/>
      <w:footerReference r:id="rId19" w:type="first"/>
      <w:footerReference r:id="rId20" w:type="even"/>
      <w:pgSz w:h="15840" w:w="12240" w:orient="portrait"/>
      <w:pgMar w:bottom="1440" w:top="1440" w:left="1440" w:right="1440" w:header="720" w:footer="720"/>
      <w:lnNumType w:countBy="1" w:start="0" w:restart="continuous"/>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3"/>
      <w:tblW w:w="9360.0" w:type="dxa"/>
      <w:jc w:val="left"/>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287.99999999999727" w:hRule="atLeast"/>
        <w:tblHeader w:val="0"/>
      </w:trPr>
      <w:tc>
        <w:tcPr/>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15" w:right="0" w:firstLine="0"/>
            <w:jc w:val="left"/>
            <w:rPr/>
          </w:pPr>
          <w:r w:rsidDel="00000000" w:rsidR="00000000" w:rsidRPr="00000000">
            <w:rPr>
              <w:rtl w:val="0"/>
            </w:rPr>
          </w:r>
        </w:p>
      </w:tc>
      <w:tc>
        <w:tcPr/>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tc>
      <w:tc>
        <w:tcPr/>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tc>
      <w:tc>
        <w:tcPr/>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115" w:firstLine="0"/>
            <w:jc w:val="right"/>
            <w:rPr/>
          </w:pPr>
          <w:r w:rsidDel="00000000" w:rsidR="00000000" w:rsidRPr="00000000">
            <w:rPr>
              <w:rtl w:val="0"/>
            </w:rPr>
          </w:r>
        </w:p>
      </w:tc>
    </w:tr>
  </w:tbl>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5">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2"/>
      <w:tblW w:w="9360.0" w:type="dxa"/>
      <w:jc w:val="left"/>
      <w:tblLayout w:type="fixed"/>
      <w:tblLook w:val="0600"/>
    </w:tblPr>
    <w:tblGrid>
      <w:gridCol w:w="3120"/>
      <w:gridCol w:w="3120"/>
      <w:gridCol w:w="3120"/>
      <w:tblGridChange w:id="0">
        <w:tblGrid>
          <w:gridCol w:w="3120"/>
          <w:gridCol w:w="3120"/>
          <w:gridCol w:w="3120"/>
        </w:tblGrid>
      </w:tblGridChange>
    </w:tblGrid>
    <w:tr>
      <w:trPr>
        <w:cantSplit w:val="0"/>
        <w:trHeight w:val="315" w:hRule="atLeast"/>
        <w:tblHeader w:val="0"/>
      </w:trPr>
      <w:tc>
        <w:tcPr/>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15" w:right="0" w:firstLine="0"/>
            <w:jc w:val="left"/>
            <w:rPr/>
          </w:pPr>
          <w:r w:rsidDel="00000000" w:rsidR="00000000" w:rsidRPr="00000000">
            <w:rPr>
              <w:rtl w:val="0"/>
            </w:rPr>
          </w:r>
        </w:p>
      </w:tc>
      <w:tc>
        <w:tcPr/>
        <w:p w:rsidR="00000000" w:rsidDel="00000000" w:rsidP="00000000" w:rsidRDefault="00000000" w:rsidRPr="00000000" w14:paraId="000000B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tc>
      <w:tc>
        <w:tcPr/>
        <w:p w:rsidR="00000000" w:rsidDel="00000000" w:rsidP="00000000" w:rsidRDefault="00000000" w:rsidRPr="00000000" w14:paraId="000000B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115" w:firstLine="0"/>
            <w:jc w:val="right"/>
            <w:rPr/>
          </w:pPr>
          <w:r w:rsidDel="00000000" w:rsidR="00000000" w:rsidRPr="00000000">
            <w:rPr>
              <w:rtl w:val="0"/>
            </w:rPr>
          </w:r>
        </w:p>
      </w:tc>
    </w:tr>
  </w:tbl>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C">
    <w:pPr>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48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480" w:lineRule="auto"/>
    </w:pPr>
    <w:rPr>
      <w:rFonts w:ascii="Arial" w:cs="Arial" w:eastAsia="Arial" w:hAnsi="Arial"/>
      <w:b w:val="1"/>
      <w:bCs w:val="1"/>
    </w:rPr>
  </w:style>
  <w:style w:type="paragraph" w:styleId="Heading2">
    <w:name w:val="heading 2"/>
    <w:basedOn w:val="Normal"/>
    <w:next w:val="Normal"/>
    <w:pPr>
      <w:keepNext w:val="1"/>
      <w:keepLines w:val="1"/>
      <w:spacing w:after="200" w:line="480" w:lineRule="auto"/>
    </w:pPr>
    <w:rPr>
      <w:rFonts w:ascii="Arial" w:cs="Arial" w:eastAsia="Arial" w:hAnsi="Arial"/>
      <w:b w:val="1"/>
      <w:bCs w:val="1"/>
    </w:rPr>
  </w:style>
  <w:style w:type="paragraph" w:styleId="Heading3">
    <w:name w:val="heading 3"/>
    <w:basedOn w:val="Normal"/>
    <w:next w:val="Normal"/>
    <w:pPr>
      <w:keepNext w:val="1"/>
      <w:keepLines w:val="1"/>
      <w:spacing w:after="200" w:line="480" w:lineRule="auto"/>
    </w:pPr>
    <w:rPr>
      <w:rFonts w:ascii="Arial" w:cs="Arial" w:eastAsia="Arial" w:hAnsi="Arial"/>
      <w:b w:val="1"/>
      <w:bCs w:val="1"/>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spacing w:after="280" w:before="240" w:line="360" w:lineRule="auto"/>
      <w:jc w:val="center"/>
    </w:pPr>
    <w:rPr>
      <w:rFonts w:ascii="Arial" w:cs="Arial" w:eastAsia="Arial" w:hAnsi="Arial"/>
      <w:b w:val="1"/>
      <w:bCs w:val="1"/>
      <w:sz w:val="28"/>
      <w:szCs w:val="2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3.xml"/><Relationship Id="rId11" Type="http://schemas.openxmlformats.org/officeDocument/2006/relationships/image" Target="media/image5.png"/><Relationship Id="rId10" Type="http://schemas.openxmlformats.org/officeDocument/2006/relationships/image" Target="media/image4.png"/><Relationship Id="rId13" Type="http://schemas.openxmlformats.org/officeDocument/2006/relationships/image" Target="media/image2.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header" Target="header1.xml"/><Relationship Id="rId14" Type="http://schemas.openxmlformats.org/officeDocument/2006/relationships/image" Target="media/image1.png"/><Relationship Id="rId17" Type="http://schemas.openxmlformats.org/officeDocument/2006/relationships/header" Target="header3.xml"/><Relationship Id="rId16" Type="http://schemas.openxmlformats.org/officeDocument/2006/relationships/header" Target="header2.xml"/><Relationship Id="rId5" Type="http://schemas.openxmlformats.org/officeDocument/2006/relationships/styles" Target="styles.xml"/><Relationship Id="rId19" Type="http://schemas.openxmlformats.org/officeDocument/2006/relationships/footer" Target="footer2.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7.png"/><Relationship Id="rId8"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XkR9KRYOa7OsaztO21VtyEEOkQ==">CgMxLjAyDmguYjcwNmFyYnN3dzJzOAByITEyOGhoSFBhdWJKR0lzYmpHd09vRzZNU0F0M3BCZjVFbA==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